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888" w:rsidRPr="00C92888" w:rsidRDefault="00C92888" w:rsidP="00C92888">
      <w:pPr>
        <w:pStyle w:val="Bezodstpw"/>
        <w:jc w:val="left"/>
        <w:rPr>
          <w:b/>
          <w:i/>
          <w:sz w:val="40"/>
          <w:szCs w:val="40"/>
        </w:rPr>
      </w:pPr>
      <w:r w:rsidRPr="00C92888">
        <w:rPr>
          <w:b/>
          <w:i/>
          <w:sz w:val="40"/>
          <w:szCs w:val="40"/>
        </w:rPr>
        <w:t>TEMAT: Czas bezczynności dysku twardego oraz procesora</w:t>
      </w:r>
    </w:p>
    <w:p w:rsidR="00C92888" w:rsidRPr="00C92888" w:rsidRDefault="00C92888" w:rsidP="00C92888">
      <w:pPr>
        <w:pStyle w:val="Bezodstpw"/>
        <w:jc w:val="left"/>
        <w:rPr>
          <w:i/>
          <w:sz w:val="30"/>
          <w:szCs w:val="30"/>
        </w:rPr>
      </w:pPr>
      <w:r w:rsidRPr="00C92888">
        <w:rPr>
          <w:i/>
          <w:sz w:val="30"/>
          <w:szCs w:val="30"/>
        </w:rPr>
        <w:t>Jedna jednostka lekcyjna</w:t>
      </w:r>
    </w:p>
    <w:p w:rsidR="00C92888" w:rsidRPr="00C92888" w:rsidRDefault="00C92888" w:rsidP="00C92888">
      <w:pPr>
        <w:pStyle w:val="Bezodstpw"/>
      </w:pPr>
    </w:p>
    <w:p w:rsidR="00B5402D" w:rsidRPr="00C92888" w:rsidRDefault="00C92888" w:rsidP="00C92888">
      <w:pPr>
        <w:pStyle w:val="Bezodstpw"/>
        <w:numPr>
          <w:ilvl w:val="0"/>
          <w:numId w:val="1"/>
        </w:numPr>
        <w:rPr>
          <w:b/>
          <w:sz w:val="28"/>
        </w:rPr>
      </w:pPr>
      <w:r w:rsidRPr="00C92888">
        <w:rPr>
          <w:b/>
          <w:sz w:val="28"/>
        </w:rPr>
        <w:t>Jak sprawdzić czas bezczynności dysku twardego oraz procesora</w:t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Theme="majorHAnsi" w:hAnsiTheme="majorHAnsi" w:cstheme="majorHAnsi"/>
          <w:bdr w:val="none" w:sz="0" w:space="0" w:color="auto" w:frame="1"/>
        </w:rPr>
      </w:pPr>
      <w:r w:rsidRPr="00C92888">
        <w:rPr>
          <w:rFonts w:asciiTheme="majorHAnsi" w:hAnsiTheme="majorHAnsi" w:cstheme="majorHAnsi"/>
        </w:rPr>
        <w:t>Czas bezczynności dysku twardego oraz procesora znajdziemy uruchamiając </w:t>
      </w:r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monitor zasobów i wydajności.</w:t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W celu  uruchomienia Monitora wydajności należy:</w:t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C92888">
        <w:rPr>
          <w:rFonts w:asciiTheme="majorHAnsi" w:hAnsiTheme="majorHAnsi" w:cstheme="majorHAnsi"/>
        </w:rPr>
        <w:t>Kliknąć przycisk </w:t>
      </w:r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Start</w:t>
      </w:r>
      <w:r w:rsidRPr="00C92888">
        <w:rPr>
          <w:rFonts w:asciiTheme="majorHAnsi" w:hAnsiTheme="majorHAnsi" w:cstheme="majorHAnsi"/>
        </w:rPr>
        <w:t> -&gt; </w:t>
      </w:r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Rozpocznij wyszukiwanie</w:t>
      </w:r>
      <w:r w:rsidRPr="00C92888">
        <w:rPr>
          <w:rFonts w:asciiTheme="majorHAnsi" w:hAnsiTheme="majorHAnsi" w:cstheme="majorHAnsi"/>
        </w:rPr>
        <w:t>, wpisz polecenie </w:t>
      </w:r>
      <w:proofErr w:type="spellStart"/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perfmon</w:t>
      </w:r>
      <w:proofErr w:type="spellEnd"/>
      <w:r w:rsidRPr="00C92888">
        <w:rPr>
          <w:rFonts w:asciiTheme="majorHAnsi" w:hAnsiTheme="majorHAnsi" w:cstheme="majorHAnsi"/>
        </w:rPr>
        <w:t>, potwierdź klawiszem ENTER.</w:t>
      </w:r>
    </w:p>
    <w:p w:rsidR="00C92888" w:rsidRPr="00C92888" w:rsidRDefault="00C92888" w:rsidP="00C92888">
      <w:pPr>
        <w:jc w:val="center"/>
      </w:pPr>
      <w:r w:rsidRPr="00C92888">
        <w:drawing>
          <wp:inline distT="0" distB="0" distL="0" distR="0" wp14:anchorId="51B5A50C" wp14:editId="40899001">
            <wp:extent cx="3715268" cy="249589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88" w:rsidRPr="00C92888" w:rsidRDefault="00C92888" w:rsidP="00C9288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C92888">
        <w:rPr>
          <w:rFonts w:asciiTheme="majorHAnsi" w:eastAsia="Times New Roman" w:hAnsiTheme="majorHAnsi" w:cstheme="majorHAnsi"/>
          <w:sz w:val="24"/>
          <w:szCs w:val="24"/>
          <w:lang w:eastAsia="pl-PL"/>
        </w:rPr>
        <w:t>W drzewie nawigacyjnym rozwiń gałąź </w:t>
      </w:r>
      <w:r w:rsidRPr="00C92888"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pl-PL"/>
        </w:rPr>
        <w:t>Narzędzia monitorowania</w:t>
      </w:r>
      <w:r w:rsidRPr="00C92888">
        <w:rPr>
          <w:rFonts w:asciiTheme="majorHAnsi" w:eastAsia="Times New Roman" w:hAnsiTheme="majorHAnsi" w:cstheme="majorHAnsi"/>
          <w:sz w:val="24"/>
          <w:szCs w:val="24"/>
          <w:lang w:eastAsia="pl-PL"/>
        </w:rPr>
        <w:t>, a następnie kliknij pozycję </w:t>
      </w:r>
      <w:r w:rsidRPr="00C92888"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pl-PL"/>
        </w:rPr>
        <w:t>Monitor wydajności</w:t>
      </w:r>
      <w:r w:rsidRPr="00C92888">
        <w:rPr>
          <w:rFonts w:asciiTheme="majorHAnsi" w:eastAsia="Times New Roman" w:hAnsiTheme="majorHAnsi" w:cstheme="majorHAnsi"/>
          <w:sz w:val="24"/>
          <w:szCs w:val="24"/>
          <w:lang w:eastAsia="pl-PL"/>
        </w:rPr>
        <w:t>.</w:t>
      </w:r>
    </w:p>
    <w:p w:rsidR="00C92888" w:rsidRPr="00C92888" w:rsidRDefault="00C92888" w:rsidP="00C92888">
      <w:pPr>
        <w:jc w:val="center"/>
        <w:rPr>
          <w:rFonts w:ascii="Arial" w:eastAsia="Times New Roman" w:hAnsi="Arial" w:cs="Arial"/>
          <w:sz w:val="21"/>
          <w:szCs w:val="21"/>
          <w:lang w:eastAsia="pl-PL"/>
        </w:rPr>
      </w:pPr>
      <w:hyperlink r:id="rId8" w:history="1">
        <w:r w:rsidRPr="00C92888">
          <w:rPr>
            <w:rFonts w:ascii="Arial" w:eastAsia="Times New Roman" w:hAnsi="Arial" w:cs="Arial"/>
            <w:sz w:val="21"/>
            <w:szCs w:val="21"/>
            <w:bdr w:val="none" w:sz="0" w:space="0" w:color="auto" w:frame="1"/>
            <w:lang w:eastAsia="pl-PL"/>
          </w:rPr>
          <w:br/>
        </w:r>
      </w:hyperlink>
      <w:r w:rsidRPr="00C92888">
        <w:rPr>
          <w:rFonts w:ascii="Arial" w:eastAsia="Times New Roman" w:hAnsi="Arial" w:cs="Arial"/>
          <w:sz w:val="21"/>
          <w:szCs w:val="21"/>
          <w:lang w:eastAsia="pl-PL"/>
        </w:rPr>
        <w:drawing>
          <wp:inline distT="0" distB="0" distL="0" distR="0" wp14:anchorId="78665D9D" wp14:editId="0A22356B">
            <wp:extent cx="5760720" cy="31445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300" w:afterAutospacing="0"/>
        <w:ind w:firstLine="708"/>
        <w:jc w:val="both"/>
        <w:textAlignment w:val="baseline"/>
        <w:rPr>
          <w:rFonts w:asciiTheme="majorHAnsi" w:hAnsiTheme="majorHAnsi" w:cstheme="majorHAnsi"/>
        </w:rPr>
      </w:pPr>
      <w:r w:rsidRPr="00C92888">
        <w:rPr>
          <w:rFonts w:asciiTheme="majorHAnsi" w:hAnsiTheme="majorHAnsi" w:cstheme="majorHAnsi"/>
        </w:rPr>
        <w:lastRenderedPageBreak/>
        <w:t>Monitor wydajności systemu Windows jest w stanie dostarczyć nam informacji dotyczących wpływu uruchamianych programów na wydajność całego komputera.</w:t>
      </w:r>
      <w:r w:rsidRPr="00C92888">
        <w:rPr>
          <w:rFonts w:asciiTheme="majorHAnsi" w:hAnsiTheme="majorHAnsi" w:cstheme="majorHAnsi"/>
        </w:rPr>
        <w:t xml:space="preserve"> </w:t>
      </w:r>
      <w:r w:rsidRPr="00C92888">
        <w:rPr>
          <w:rFonts w:asciiTheme="majorHAnsi" w:hAnsiTheme="majorHAnsi" w:cstheme="majorHAnsi"/>
        </w:rPr>
        <w:t>Monitor wydajności systemu Windows korzysta z liczników wydajności, danych śledzenia zdarzeń i informacji o konfiguracji, które można łączyć w zestawy modułów zbierających dane.</w:t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ajorHAnsi" w:hAnsiTheme="majorHAnsi" w:cstheme="majorHAnsi"/>
        </w:rPr>
      </w:pPr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Liczniki wydajności</w:t>
      </w:r>
      <w:r w:rsidRPr="00C92888">
        <w:rPr>
          <w:rFonts w:asciiTheme="majorHAnsi" w:hAnsiTheme="majorHAnsi" w:cstheme="majorHAnsi"/>
        </w:rPr>
        <w:t> są wskaźnikami stanu lub aktywności systemu. Mogą one być częścią systemu operacyjnego lub pojedynczych aplikacji. Monitor wydajności systemu Windows pobiera aktualne wartości liczników wydajności w określonych odstępach czasu.</w:t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ajorHAnsi" w:hAnsiTheme="majorHAnsi" w:cstheme="majorHAnsi"/>
        </w:rPr>
      </w:pPr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Dane śledzenia zdarzeń</w:t>
      </w:r>
      <w:r w:rsidRPr="00C92888">
        <w:rPr>
          <w:rFonts w:asciiTheme="majorHAnsi" w:hAnsiTheme="majorHAnsi" w:cstheme="majorHAnsi"/>
        </w:rPr>
        <w:t> są zbierane od dostawców śledzenia będących składnikami systemu operacyjnego lub pojedynczych aplikacji, które raportują akcje lub zdarzenia. Dane wyjściowe od wielu dostawców śledzenia można połączyć w </w:t>
      </w:r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sesję śledzenia</w:t>
      </w:r>
      <w:r w:rsidRPr="00C92888">
        <w:rPr>
          <w:rFonts w:asciiTheme="majorHAnsi" w:hAnsiTheme="majorHAnsi" w:cstheme="majorHAnsi"/>
        </w:rPr>
        <w:t>.</w:t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ajorHAnsi" w:hAnsiTheme="majorHAnsi" w:cstheme="majorHAnsi"/>
        </w:rPr>
      </w:pPr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Informacje o konfiguracji</w:t>
      </w:r>
      <w:r w:rsidRPr="00C92888">
        <w:rPr>
          <w:rFonts w:asciiTheme="majorHAnsi" w:hAnsiTheme="majorHAnsi" w:cstheme="majorHAnsi"/>
        </w:rPr>
        <w:t> są zbierane z wartości kluczy w rejestrze Windows. Monitor wydajności systemu Windows może rejestrować wartości klucza rejestru w określonych godzinach lub odstępach czasu w ramach pliku dziennika.</w:t>
      </w: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pStyle w:val="Bezodstpw"/>
        <w:rPr>
          <w:b/>
          <w:i/>
          <w:sz w:val="40"/>
          <w:szCs w:val="40"/>
        </w:rPr>
      </w:pPr>
      <w:r w:rsidRPr="00C92888">
        <w:rPr>
          <w:b/>
          <w:i/>
          <w:sz w:val="40"/>
          <w:szCs w:val="40"/>
        </w:rPr>
        <w:lastRenderedPageBreak/>
        <w:t>TEMAT: Diagnostyka dysku twardego</w:t>
      </w:r>
    </w:p>
    <w:p w:rsidR="00C92888" w:rsidRPr="00C92888" w:rsidRDefault="00C92888" w:rsidP="00C92888">
      <w:pPr>
        <w:rPr>
          <w:rFonts w:asciiTheme="majorHAnsi" w:hAnsiTheme="majorHAnsi" w:cstheme="majorHAnsi"/>
          <w:i/>
          <w:sz w:val="28"/>
          <w:szCs w:val="24"/>
        </w:rPr>
      </w:pPr>
      <w:r w:rsidRPr="00C92888">
        <w:rPr>
          <w:rFonts w:asciiTheme="majorHAnsi" w:hAnsiTheme="majorHAnsi" w:cstheme="majorHAnsi"/>
          <w:i/>
          <w:sz w:val="28"/>
          <w:szCs w:val="24"/>
        </w:rPr>
        <w:t>Dwie jednostki lekcyjne</w:t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 w:rsidRPr="00C92888">
        <w:rPr>
          <w:rFonts w:asciiTheme="majorHAnsi" w:hAnsiTheme="majorHAnsi" w:cstheme="majorHAnsi"/>
        </w:rPr>
        <w:t>HDD pełni jedną z najważniejszych funkcji w komputerach osobistych. Dla tego tak ważna jest </w:t>
      </w:r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Diagnostyka dysku twardego.</w:t>
      </w:r>
      <w:r w:rsidRPr="00C92888">
        <w:rPr>
          <w:rFonts w:asciiTheme="majorHAnsi" w:hAnsiTheme="majorHAnsi" w:cstheme="majorHAnsi"/>
        </w:rPr>
        <w:t xml:space="preserve"> Jest on trwałą pamięcią komputera więc przechowuje dane użytkowe i konfiguracyjne systemu operacyjnego a także umożliwia edycję i zapis danych użytkownika. Ważne jest więc, byśmy o niego dbali i sprawdzali czy jest w dobrym stanie. </w:t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C92888" w:rsidRPr="00C92888" w:rsidRDefault="00C92888" w:rsidP="00C92888">
      <w:pPr>
        <w:pStyle w:val="Nagwek2"/>
        <w:shd w:val="clear" w:color="auto" w:fill="FFFFFF"/>
        <w:spacing w:before="0"/>
        <w:jc w:val="center"/>
        <w:textAlignment w:val="baseline"/>
        <w:rPr>
          <w:rFonts w:cstheme="majorHAnsi"/>
          <w:b/>
          <w:color w:val="auto"/>
          <w:sz w:val="30"/>
          <w:szCs w:val="30"/>
        </w:rPr>
      </w:pPr>
      <w:r w:rsidRPr="00C92888">
        <w:rPr>
          <w:rStyle w:val="Pogrubienie"/>
          <w:rFonts w:cstheme="majorHAnsi"/>
          <w:bCs w:val="0"/>
          <w:color w:val="auto"/>
          <w:sz w:val="30"/>
          <w:szCs w:val="30"/>
          <w:bdr w:val="none" w:sz="0" w:space="0" w:color="auto" w:frame="1"/>
        </w:rPr>
        <w:t>Po pierwsze warto sprawdzić czy nie występują </w:t>
      </w:r>
      <w:proofErr w:type="spellStart"/>
      <w:r w:rsidRPr="00C92888">
        <w:rPr>
          <w:rStyle w:val="Uwydatnienie"/>
          <w:rFonts w:cstheme="majorHAnsi"/>
          <w:b/>
          <w:color w:val="auto"/>
          <w:sz w:val="30"/>
          <w:szCs w:val="30"/>
          <w:bdr w:val="none" w:sz="0" w:space="0" w:color="auto" w:frame="1"/>
        </w:rPr>
        <w:t>badsectory</w:t>
      </w:r>
      <w:proofErr w:type="spellEnd"/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proofErr w:type="spellStart"/>
      <w:r w:rsidRPr="00C92888">
        <w:rPr>
          <w:rStyle w:val="Pogrubienie"/>
          <w:rFonts w:asciiTheme="majorHAnsi" w:hAnsiTheme="majorHAnsi" w:cstheme="majorHAnsi"/>
          <w:bdr w:val="none" w:sz="0" w:space="0" w:color="auto" w:frame="1"/>
        </w:rPr>
        <w:t>Badsectory</w:t>
      </w:r>
      <w:proofErr w:type="spellEnd"/>
      <w:r w:rsidRPr="00C92888">
        <w:rPr>
          <w:rFonts w:asciiTheme="majorHAnsi" w:hAnsiTheme="majorHAnsi" w:cstheme="majorHAnsi"/>
        </w:rPr>
        <w:t xml:space="preserve"> możemy podzielić na fizyczne czyli takie których nie da się naprawić ( można założyć partycje które będą omijały obszar na którym te </w:t>
      </w:r>
      <w:proofErr w:type="spellStart"/>
      <w:r w:rsidRPr="00C92888">
        <w:rPr>
          <w:rFonts w:asciiTheme="majorHAnsi" w:hAnsiTheme="majorHAnsi" w:cstheme="majorHAnsi"/>
        </w:rPr>
        <w:t>badsectory</w:t>
      </w:r>
      <w:proofErr w:type="spellEnd"/>
      <w:r w:rsidRPr="00C92888">
        <w:rPr>
          <w:rFonts w:asciiTheme="majorHAnsi" w:hAnsiTheme="majorHAnsi" w:cstheme="majorHAnsi"/>
        </w:rPr>
        <w:t xml:space="preserve"> występują, lecz jest to rozwiązanie czasowe)  np. porysowana powierzchnia talerza dysku. Oraz logiczne które da się naprawić (wynikają one najczęściej z błędów struktury logicznej dysku).</w:t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sz w:val="21"/>
          <w:szCs w:val="21"/>
        </w:rPr>
      </w:pPr>
      <w:r w:rsidRPr="00C92888">
        <w:rPr>
          <w:rFonts w:ascii="Arial" w:hAnsi="Arial" w:cs="Arial"/>
          <w:sz w:val="21"/>
          <w:szCs w:val="21"/>
        </w:rPr>
        <w:t> </w:t>
      </w:r>
    </w:p>
    <w:p w:rsidR="00C92888" w:rsidRPr="00C92888" w:rsidRDefault="00C92888" w:rsidP="00C9288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pl-PL"/>
        </w:rPr>
      </w:pPr>
      <w:proofErr w:type="spellStart"/>
      <w:r w:rsidRPr="00C92888"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pl-PL"/>
        </w:rPr>
        <w:t>Macrorit</w:t>
      </w:r>
      <w:proofErr w:type="spellEnd"/>
      <w:r w:rsidRPr="00C92888"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pl-PL"/>
        </w:rPr>
        <w:t xml:space="preserve"> Disk </w:t>
      </w:r>
      <w:proofErr w:type="spellStart"/>
      <w:r w:rsidRPr="00C92888"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pl-PL"/>
        </w:rPr>
        <w:t>Partition</w:t>
      </w:r>
      <w:proofErr w:type="spellEnd"/>
      <w:r w:rsidRPr="00C92888"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pl-PL"/>
        </w:rPr>
        <w:t xml:space="preserve"> </w:t>
      </w:r>
      <w:proofErr w:type="spellStart"/>
      <w:r w:rsidRPr="00C92888"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pl-PL"/>
        </w:rPr>
        <w:t>Expert</w:t>
      </w:r>
      <w:proofErr w:type="spellEnd"/>
      <w:r w:rsidRPr="00C92888">
        <w:rPr>
          <w:rFonts w:ascii="Arial" w:eastAsia="Times New Roman" w:hAnsi="Arial" w:cs="Arial"/>
          <w:sz w:val="21"/>
          <w:szCs w:val="21"/>
          <w:lang w:eastAsia="pl-PL"/>
        </w:rPr>
        <w:t> – tym programem między innymi sprawdzimy sektory naszego dysku.</w:t>
      </w:r>
    </w:p>
    <w:p w:rsidR="00C92888" w:rsidRPr="00C92888" w:rsidRDefault="00C92888" w:rsidP="00C9288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pl-PL"/>
        </w:rPr>
      </w:pPr>
    </w:p>
    <w:p w:rsidR="00C92888" w:rsidRPr="00C92888" w:rsidRDefault="00C92888" w:rsidP="00C92888">
      <w:pPr>
        <w:jc w:val="center"/>
        <w:rPr>
          <w:rFonts w:asciiTheme="majorHAnsi" w:hAnsiTheme="majorHAnsi" w:cstheme="majorHAnsi"/>
          <w:sz w:val="28"/>
          <w:szCs w:val="24"/>
        </w:rPr>
      </w:pPr>
      <w:r w:rsidRPr="00C92888">
        <w:rPr>
          <w:rFonts w:asciiTheme="majorHAnsi" w:hAnsiTheme="majorHAnsi" w:cstheme="majorHAnsi"/>
          <w:sz w:val="28"/>
          <w:szCs w:val="24"/>
        </w:rPr>
        <w:drawing>
          <wp:inline distT="0" distB="0" distL="0" distR="0" wp14:anchorId="5D67F434" wp14:editId="781060C7">
            <wp:extent cx="5760720" cy="40055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88" w:rsidRPr="00C92888" w:rsidRDefault="00C92888" w:rsidP="00C92888">
      <w:pPr>
        <w:shd w:val="clear" w:color="auto" w:fill="FFFFFF"/>
        <w:spacing w:after="300" w:line="240" w:lineRule="auto"/>
        <w:textAlignment w:val="baseline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C92888">
        <w:rPr>
          <w:rFonts w:asciiTheme="majorHAnsi" w:eastAsia="Times New Roman" w:hAnsiTheme="majorHAnsi" w:cstheme="majorHAnsi"/>
          <w:sz w:val="24"/>
          <w:szCs w:val="24"/>
          <w:lang w:eastAsia="pl-PL"/>
        </w:rPr>
        <w:t>Aby to zrobić musimy:</w:t>
      </w:r>
    </w:p>
    <w:p w:rsidR="00C92888" w:rsidRPr="00C92888" w:rsidRDefault="00C92888" w:rsidP="00C92888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sz w:val="24"/>
          <w:szCs w:val="24"/>
          <w:lang w:eastAsia="pl-PL"/>
        </w:rPr>
      </w:pPr>
      <w:r w:rsidRPr="00C92888">
        <w:rPr>
          <w:rFonts w:asciiTheme="majorHAnsi" w:eastAsia="Times New Roman" w:hAnsiTheme="majorHAnsi" w:cstheme="majorHAnsi"/>
          <w:sz w:val="24"/>
          <w:szCs w:val="24"/>
          <w:lang w:eastAsia="pl-PL"/>
        </w:rPr>
        <w:t>Z zakładki </w:t>
      </w:r>
      <w:r w:rsidRPr="00C92888"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pl-PL"/>
        </w:rPr>
        <w:t>Operations</w:t>
      </w:r>
      <w:r w:rsidRPr="00C92888">
        <w:rPr>
          <w:rFonts w:asciiTheme="majorHAnsi" w:eastAsia="Times New Roman" w:hAnsiTheme="majorHAnsi" w:cstheme="majorHAnsi"/>
          <w:sz w:val="24"/>
          <w:szCs w:val="24"/>
          <w:lang w:eastAsia="pl-PL"/>
        </w:rPr>
        <w:t> wybrać </w:t>
      </w:r>
      <w:r w:rsidRPr="00C92888"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pl-PL"/>
        </w:rPr>
        <w:t>Surface Test</w:t>
      </w:r>
    </w:p>
    <w:p w:rsidR="00C92888" w:rsidRPr="00C92888" w:rsidRDefault="00C92888" w:rsidP="00C92888">
      <w:pPr>
        <w:jc w:val="center"/>
        <w:rPr>
          <w:rFonts w:asciiTheme="majorHAnsi" w:hAnsiTheme="majorHAnsi" w:cstheme="majorHAnsi"/>
          <w:sz w:val="28"/>
          <w:szCs w:val="24"/>
        </w:rPr>
      </w:pPr>
      <w:r w:rsidRPr="00C92888">
        <w:rPr>
          <w:rFonts w:asciiTheme="majorHAnsi" w:hAnsiTheme="majorHAnsi" w:cstheme="majorHAnsi"/>
          <w:sz w:val="28"/>
          <w:szCs w:val="24"/>
        </w:rPr>
        <w:lastRenderedPageBreak/>
        <w:drawing>
          <wp:inline distT="0" distB="0" distL="0" distR="0" wp14:anchorId="275DB618" wp14:editId="511F7DAD">
            <wp:extent cx="5561598" cy="3830955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4102" cy="38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88" w:rsidRPr="00C92888" w:rsidRDefault="00C92888" w:rsidP="00C92888">
      <w:pPr>
        <w:rPr>
          <w:rStyle w:val="Pogrubienie"/>
          <w:rFonts w:asciiTheme="majorHAnsi" w:hAnsiTheme="majorHAnsi" w:cstheme="majorHAnsi"/>
          <w:sz w:val="24"/>
          <w:szCs w:val="24"/>
          <w:bdr w:val="none" w:sz="0" w:space="0" w:color="auto" w:frame="1"/>
          <w:shd w:val="clear" w:color="auto" w:fill="FFFFFF"/>
        </w:rPr>
      </w:pPr>
      <w:r w:rsidRPr="00C92888">
        <w:rPr>
          <w:rFonts w:asciiTheme="majorHAnsi" w:hAnsiTheme="majorHAnsi" w:cstheme="majorHAnsi"/>
          <w:sz w:val="24"/>
          <w:szCs w:val="24"/>
          <w:shd w:val="clear" w:color="auto" w:fill="FFFFFF"/>
        </w:rPr>
        <w:t>A następnie wybrać </w:t>
      </w:r>
      <w:r w:rsidRPr="00C92888">
        <w:rPr>
          <w:rStyle w:val="Pogrubienie"/>
          <w:rFonts w:asciiTheme="majorHAnsi" w:hAnsiTheme="majorHAnsi" w:cstheme="majorHAnsi"/>
          <w:sz w:val="24"/>
          <w:szCs w:val="24"/>
          <w:bdr w:val="none" w:sz="0" w:space="0" w:color="auto" w:frame="1"/>
          <w:shd w:val="clear" w:color="auto" w:fill="FFFFFF"/>
        </w:rPr>
        <w:t xml:space="preserve">Scan </w:t>
      </w:r>
      <w:proofErr w:type="spellStart"/>
      <w:r w:rsidRPr="00C92888">
        <w:rPr>
          <w:rStyle w:val="Pogrubienie"/>
          <w:rFonts w:asciiTheme="majorHAnsi" w:hAnsiTheme="majorHAnsi" w:cstheme="majorHAnsi"/>
          <w:sz w:val="24"/>
          <w:szCs w:val="24"/>
          <w:bdr w:val="none" w:sz="0" w:space="0" w:color="auto" w:frame="1"/>
          <w:shd w:val="clear" w:color="auto" w:fill="FFFFFF"/>
        </w:rPr>
        <w:t>Now</w:t>
      </w:r>
      <w:proofErr w:type="spellEnd"/>
      <w:r w:rsidRPr="00C92888">
        <w:rPr>
          <w:rStyle w:val="Pogrubienie"/>
          <w:rFonts w:asciiTheme="majorHAnsi" w:hAnsiTheme="majorHAnsi" w:cstheme="majorHAnsi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C92888" w:rsidRPr="00C92888" w:rsidRDefault="00C92888" w:rsidP="00C92888">
      <w:pPr>
        <w:rPr>
          <w:rStyle w:val="Pogrubienie"/>
          <w:rFonts w:ascii="Arial" w:hAnsi="Arial" w:cs="Arial"/>
          <w:sz w:val="21"/>
          <w:szCs w:val="21"/>
          <w:bdr w:val="none" w:sz="0" w:space="0" w:color="auto" w:frame="1"/>
          <w:shd w:val="clear" w:color="auto" w:fill="FFFFFF"/>
        </w:rPr>
      </w:pPr>
    </w:p>
    <w:p w:rsidR="00C92888" w:rsidRDefault="00C92888" w:rsidP="00C92888">
      <w:pPr>
        <w:jc w:val="center"/>
        <w:rPr>
          <w:rFonts w:asciiTheme="majorHAnsi" w:hAnsiTheme="majorHAnsi" w:cstheme="majorHAnsi"/>
          <w:sz w:val="28"/>
          <w:szCs w:val="24"/>
        </w:rPr>
      </w:pPr>
      <w:r w:rsidRPr="00C92888">
        <w:rPr>
          <w:rFonts w:asciiTheme="majorHAnsi" w:hAnsiTheme="majorHAnsi" w:cstheme="majorHAnsi"/>
          <w:sz w:val="28"/>
          <w:szCs w:val="24"/>
        </w:rPr>
        <w:drawing>
          <wp:inline distT="0" distB="0" distL="0" distR="0" wp14:anchorId="40253036" wp14:editId="6DB763B4">
            <wp:extent cx="5760720" cy="4002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88" w:rsidRDefault="00C92888" w:rsidP="00C92888">
      <w:pPr>
        <w:rPr>
          <w:rStyle w:val="Pogrubienie"/>
          <w:rFonts w:asciiTheme="majorHAnsi" w:hAnsiTheme="majorHAnsi" w:cstheme="majorHAnsi"/>
          <w:sz w:val="24"/>
          <w:szCs w:val="24"/>
          <w:bdr w:val="none" w:sz="0" w:space="0" w:color="auto" w:frame="1"/>
          <w:shd w:val="clear" w:color="auto" w:fill="FFFFFF"/>
        </w:rPr>
      </w:pPr>
      <w:r w:rsidRPr="00C92888">
        <w:rPr>
          <w:rFonts w:asciiTheme="majorHAnsi" w:hAnsiTheme="majorHAnsi" w:cstheme="majorHAnsi"/>
          <w:sz w:val="24"/>
          <w:szCs w:val="24"/>
          <w:shd w:val="clear" w:color="auto" w:fill="FFFFFF"/>
        </w:rPr>
        <w:t>Możemy też wybrać ile miejsca ma przeskanować dysk wybierając </w:t>
      </w:r>
      <w:r w:rsidRPr="00C92888">
        <w:rPr>
          <w:rStyle w:val="Pogrubienie"/>
          <w:rFonts w:asciiTheme="majorHAnsi" w:hAnsiTheme="majorHAnsi" w:cstheme="majorHAnsi"/>
          <w:sz w:val="24"/>
          <w:szCs w:val="24"/>
          <w:bdr w:val="none" w:sz="0" w:space="0" w:color="auto" w:frame="1"/>
          <w:shd w:val="clear" w:color="auto" w:fill="FFFFFF"/>
        </w:rPr>
        <w:t xml:space="preserve">Scan </w:t>
      </w:r>
      <w:proofErr w:type="spellStart"/>
      <w:r w:rsidRPr="00C92888">
        <w:rPr>
          <w:rStyle w:val="Pogrubienie"/>
          <w:rFonts w:asciiTheme="majorHAnsi" w:hAnsiTheme="majorHAnsi" w:cstheme="majorHAnsi"/>
          <w:sz w:val="24"/>
          <w:szCs w:val="24"/>
          <w:bdr w:val="none" w:sz="0" w:space="0" w:color="auto" w:frame="1"/>
          <w:shd w:val="clear" w:color="auto" w:fill="FFFFFF"/>
        </w:rPr>
        <w:t>area</w:t>
      </w:r>
      <w:proofErr w:type="spellEnd"/>
      <w:r w:rsidRPr="00C92888">
        <w:rPr>
          <w:rStyle w:val="Pogrubienie"/>
          <w:rFonts w:asciiTheme="majorHAnsi" w:hAnsiTheme="majorHAnsi" w:cstheme="majorHAnsi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C92888" w:rsidRPr="00C92888" w:rsidRDefault="00C92888" w:rsidP="00C92888">
      <w:pPr>
        <w:pStyle w:val="Nagwek4"/>
        <w:shd w:val="clear" w:color="auto" w:fill="FFFFFF"/>
        <w:spacing w:before="0"/>
        <w:textAlignment w:val="baseline"/>
        <w:rPr>
          <w:rFonts w:cstheme="majorHAnsi"/>
          <w:i w:val="0"/>
          <w:color w:val="auto"/>
          <w:sz w:val="30"/>
          <w:szCs w:val="30"/>
        </w:rPr>
      </w:pPr>
      <w:r w:rsidRPr="00C92888">
        <w:rPr>
          <w:rStyle w:val="Pogrubienie"/>
          <w:rFonts w:cstheme="majorHAnsi"/>
          <w:bCs w:val="0"/>
          <w:i w:val="0"/>
          <w:color w:val="auto"/>
          <w:sz w:val="30"/>
          <w:szCs w:val="30"/>
          <w:bdr w:val="none" w:sz="0" w:space="0" w:color="auto" w:frame="1"/>
        </w:rPr>
        <w:lastRenderedPageBreak/>
        <w:t>Jak powinniśmy odczytywać wyniki?</w:t>
      </w:r>
    </w:p>
    <w:p w:rsidR="00C92888" w:rsidRPr="00C92888" w:rsidRDefault="00C92888" w:rsidP="00C9288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Theme="majorHAnsi" w:hAnsiTheme="majorHAnsi" w:cstheme="majorHAnsi"/>
          <w:color w:val="444444"/>
        </w:rPr>
      </w:pPr>
      <w:r w:rsidRPr="00C92888">
        <w:rPr>
          <w:rFonts w:asciiTheme="majorHAnsi" w:hAnsiTheme="majorHAnsi" w:cstheme="majorHAnsi"/>
          <w:color w:val="444444"/>
        </w:rPr>
        <w:t>Jeżeli sektor nie posiada błędów kwadracik będzie zielony, jednak jeśli jest uszkodzony to kwadracik będzie czerwony.</w:t>
      </w:r>
    </w:p>
    <w:p w:rsid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  <w:r w:rsidRPr="00C92888">
        <w:rPr>
          <w:rFonts w:asciiTheme="majorHAnsi" w:hAnsiTheme="majorHAnsi" w:cstheme="majorHAnsi"/>
          <w:sz w:val="24"/>
          <w:szCs w:val="24"/>
        </w:rPr>
        <w:drawing>
          <wp:inline distT="0" distB="0" distL="0" distR="0" wp14:anchorId="61233D02" wp14:editId="4AD25F73">
            <wp:extent cx="5760720" cy="4000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</w:p>
    <w:p w:rsidR="00C92888" w:rsidRPr="00C92888" w:rsidRDefault="00C92888" w:rsidP="00C92888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C92888">
        <w:rPr>
          <w:rFonts w:asciiTheme="majorHAnsi" w:hAnsiTheme="majorHAnsi" w:cstheme="majorHAnsi"/>
          <w:b/>
          <w:color w:val="FF0000"/>
          <w:sz w:val="40"/>
          <w:szCs w:val="40"/>
        </w:rPr>
        <w:t xml:space="preserve">Zadanie domowe: </w:t>
      </w:r>
    </w:p>
    <w:p w:rsidR="00C92888" w:rsidRPr="00C92888" w:rsidRDefault="00C92888" w:rsidP="00C92888">
      <w:pPr>
        <w:pStyle w:val="Bezodstpw"/>
        <w:rPr>
          <w:i/>
          <w:sz w:val="40"/>
          <w:szCs w:val="40"/>
        </w:rPr>
      </w:pPr>
      <w:r>
        <w:rPr>
          <w:rFonts w:cstheme="majorHAnsi"/>
          <w:szCs w:val="24"/>
        </w:rPr>
        <w:t xml:space="preserve">Zapoznaj się z powyższymi lekcjami. Przeanalizuj dokładnie proces </w:t>
      </w:r>
      <w:r w:rsidRPr="00C92888">
        <w:rPr>
          <w:szCs w:val="24"/>
        </w:rPr>
        <w:t xml:space="preserve">bezczynności dysku twardego </w:t>
      </w:r>
      <w:r w:rsidRPr="00C92888">
        <w:rPr>
          <w:szCs w:val="24"/>
        </w:rPr>
        <w:t xml:space="preserve">i </w:t>
      </w:r>
      <w:r w:rsidRPr="00C92888">
        <w:rPr>
          <w:szCs w:val="24"/>
        </w:rPr>
        <w:t>procesora</w:t>
      </w:r>
      <w:r w:rsidRPr="00C92888">
        <w:rPr>
          <w:szCs w:val="24"/>
        </w:rPr>
        <w:t xml:space="preserve"> oraz skanowania dysku w poszukiwaniu </w:t>
      </w:r>
      <w:proofErr w:type="spellStart"/>
      <w:r w:rsidRPr="00C92888">
        <w:rPr>
          <w:rStyle w:val="Uwydatnienie"/>
          <w:rFonts w:cstheme="majorHAnsi"/>
          <w:i w:val="0"/>
          <w:szCs w:val="24"/>
          <w:bdr w:val="none" w:sz="0" w:space="0" w:color="auto" w:frame="1"/>
        </w:rPr>
        <w:t>badsector</w:t>
      </w:r>
      <w:proofErr w:type="spellEnd"/>
      <w:r>
        <w:rPr>
          <w:rStyle w:val="Uwydatnienie"/>
          <w:rFonts w:cstheme="majorHAnsi"/>
          <w:i w:val="0"/>
          <w:szCs w:val="24"/>
          <w:bdr w:val="none" w:sz="0" w:space="0" w:color="auto" w:frame="1"/>
        </w:rPr>
        <w:t xml:space="preserve">. Powyższe zagadnienia zostaną wykonane na najbliższej lekcji NUTK </w:t>
      </w:r>
    </w:p>
    <w:p w:rsidR="00C92888" w:rsidRPr="00C92888" w:rsidRDefault="00C92888" w:rsidP="00C92888">
      <w:pPr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</w:p>
    <w:sectPr w:rsidR="00C92888" w:rsidRPr="00C92888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3F5" w:rsidRDefault="007433F5" w:rsidP="00C92888">
      <w:pPr>
        <w:spacing w:after="0" w:line="240" w:lineRule="auto"/>
      </w:pPr>
      <w:r>
        <w:separator/>
      </w:r>
    </w:p>
  </w:endnote>
  <w:endnote w:type="continuationSeparator" w:id="0">
    <w:p w:rsidR="007433F5" w:rsidRDefault="007433F5" w:rsidP="00C92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3F5" w:rsidRDefault="007433F5" w:rsidP="00C92888">
      <w:pPr>
        <w:spacing w:after="0" w:line="240" w:lineRule="auto"/>
      </w:pPr>
      <w:r>
        <w:separator/>
      </w:r>
    </w:p>
  </w:footnote>
  <w:footnote w:type="continuationSeparator" w:id="0">
    <w:p w:rsidR="007433F5" w:rsidRDefault="007433F5" w:rsidP="00C92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888" w:rsidRPr="00C92888" w:rsidRDefault="00C92888" w:rsidP="00C92888">
    <w:pPr>
      <w:pStyle w:val="Bezodstpw"/>
      <w:rPr>
        <w:b/>
        <w:i/>
        <w:sz w:val="40"/>
        <w:szCs w:val="40"/>
      </w:rPr>
    </w:pPr>
    <w:r w:rsidRPr="00C92888">
      <w:rPr>
        <w:b/>
        <w:i/>
        <w:sz w:val="40"/>
        <w:szCs w:val="40"/>
      </w:rPr>
      <w:t>NUTK 21.10.2020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A15F5"/>
    <w:multiLevelType w:val="hybridMultilevel"/>
    <w:tmpl w:val="356AB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E32329"/>
    <w:multiLevelType w:val="multilevel"/>
    <w:tmpl w:val="4B929F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888"/>
    <w:rsid w:val="00073615"/>
    <w:rsid w:val="007433F5"/>
    <w:rsid w:val="00844DA6"/>
    <w:rsid w:val="00C9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19390"/>
  <w15:chartTrackingRefBased/>
  <w15:docId w15:val="{8544315B-8B86-4542-8388-DEC5536A9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C928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928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928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9288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C92888"/>
    <w:pPr>
      <w:spacing w:after="0" w:line="240" w:lineRule="auto"/>
      <w:jc w:val="both"/>
    </w:pPr>
    <w:rPr>
      <w:rFonts w:asciiTheme="majorHAnsi" w:hAnsiTheme="majorHAnsi"/>
      <w:sz w:val="24"/>
    </w:rPr>
  </w:style>
  <w:style w:type="paragraph" w:styleId="Nagwek">
    <w:name w:val="header"/>
    <w:basedOn w:val="Normalny"/>
    <w:link w:val="NagwekZnak"/>
    <w:uiPriority w:val="99"/>
    <w:unhideWhenUsed/>
    <w:rsid w:val="00C92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2888"/>
  </w:style>
  <w:style w:type="paragraph" w:styleId="Stopka">
    <w:name w:val="footer"/>
    <w:basedOn w:val="Normalny"/>
    <w:link w:val="StopkaZnak"/>
    <w:uiPriority w:val="99"/>
    <w:unhideWhenUsed/>
    <w:rsid w:val="00C92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2888"/>
  </w:style>
  <w:style w:type="paragraph" w:styleId="NormalnyWeb">
    <w:name w:val="Normal (Web)"/>
    <w:basedOn w:val="Normalny"/>
    <w:uiPriority w:val="99"/>
    <w:unhideWhenUsed/>
    <w:rsid w:val="00C92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92888"/>
    <w:rPr>
      <w:b/>
      <w:bCs/>
    </w:rPr>
  </w:style>
  <w:style w:type="character" w:styleId="Hipercze">
    <w:name w:val="Hyperlink"/>
    <w:basedOn w:val="Domylnaczcionkaakapitu"/>
    <w:uiPriority w:val="99"/>
    <w:unhideWhenUsed/>
    <w:rsid w:val="00C92888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928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C92888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9288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3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epetycjenowysacz.edu.pl/wp-content/uploads/2018/02/monitor-wydajnosci.pn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451</Words>
  <Characters>2710</Characters>
  <Application>Microsoft Office Word</Application>
  <DocSecurity>0</DocSecurity>
  <Lines>22</Lines>
  <Paragraphs>6</Paragraphs>
  <ScaleCrop>false</ScaleCrop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karolinapasiut95@gmail.com</dc:creator>
  <cp:keywords/>
  <dc:description/>
  <cp:lastModifiedBy>karolinapasiut95@gmail.com</cp:lastModifiedBy>
  <cp:revision>1</cp:revision>
  <dcterms:created xsi:type="dcterms:W3CDTF">2020-10-20T17:56:00Z</dcterms:created>
  <dcterms:modified xsi:type="dcterms:W3CDTF">2020-10-20T18:07:00Z</dcterms:modified>
</cp:coreProperties>
</file>