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 b – Wykonywanie geodezyjnych pomiarów kontrolnych obiektów budowlanych i urządzeń technicznych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Lekcje z dnia  20.10.2020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Zalety</w:t>
      </w:r>
      <w:r>
        <w:rPr>
          <w:rFonts w:eastAsia="Tahoma" w:cs="DejaVu Sans" w:ascii="Times New Roman" w:hAnsi="Times New Roman"/>
          <w:b/>
          <w:bCs/>
          <w:color w:val="auto"/>
          <w:kern w:val="2"/>
          <w:sz w:val="26"/>
          <w:szCs w:val="26"/>
          <w:lang w:val="pl-PL" w:eastAsia="zh-CN" w:bidi="hi-IN"/>
        </w:rPr>
        <w:t xml:space="preserve"> i wady pomiaru osnowy realizacyjnej przypomocy odbiornika GPS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Uzupełnij notatkę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 xml:space="preserve">Do zalet pomiaru za pomocą odbiornika GPS należą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szybki pomiar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duża dokładność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redukcja kosztów (mniej pracowników)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nie jest wymagana wzajemna widoczność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 xml:space="preserve">Do wad pomiaru za pomocą odbiornika GPS należą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potrzebna widoczność nad odbiornikiem (dachy, drzewa uniemożliwiają pomiar),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koszty sprzętu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przeliczanie wyników pomiaru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eastAsia="Tahoma" w:cs="DejaVu Sans" w:ascii="Times New Roman" w:hAnsi="Times New Roman"/>
          <w:b w:val="false"/>
          <w:bCs w:val="false"/>
          <w:color w:val="auto"/>
          <w:kern w:val="2"/>
          <w:sz w:val="26"/>
          <w:szCs w:val="26"/>
          <w:lang w:val="pl-PL" w:eastAsia="zh-CN" w:bidi="hi-IN"/>
        </w:rPr>
        <w:t>- długość pomiaru statycznego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LibreOffice/6.4.5.2$Linux_X86_64 LibreOffice_project/a726b36747cf2001e06b58ad5db1aa3a9a1872d6</Application>
  <Pages>1</Pages>
  <Words>85</Words>
  <Characters>532</Characters>
  <CharactersWithSpaces>608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2020-10-20T19:55:35Z</dcterms:modified>
  <cp:revision>67</cp:revision>
  <dc:subject/>
  <dc:title/>
</cp:coreProperties>
</file>