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II</w:t>
      </w:r>
      <w:r>
        <w:rPr>
          <w:b/>
          <w:bCs/>
          <w:sz w:val="26"/>
          <w:szCs w:val="26"/>
        </w:rPr>
        <w:t xml:space="preserve"> b – </w:t>
      </w:r>
      <w:r>
        <w:rPr>
          <w:b/>
          <w:bCs/>
          <w:sz w:val="26"/>
          <w:szCs w:val="26"/>
        </w:rPr>
        <w:t>Kataster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bookmarkStart w:id="0" w:name="docs-internal-guid-5b40a6ea-7fff-8526-b5"/>
      <w:bookmarkEnd w:id="0"/>
      <w:r>
        <w:rPr>
          <w:rStyle w:val="TeksttreciArial10ptBezpogrubienia"/>
          <w:rFonts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Klasy bonitacyjne gleb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Uzupełnić w zeszycie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Bonitacja gleb to ocena jakości żywności oraz przydatności gleby pod kątem rolniczym. Bonitacja prowadzi się przy pomocy odkrywek glebowych pobranych przy okazji badania profilów glebowych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Kryteria decydujące o klasyfikacji gleby do danej klasy: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Środowisko naturalne (roślinność)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Pochodzenie gleby (geneza)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Proces glebotwórczy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Wartość użytkowa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Właściwości fizyczne i chemiczne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Stopień trudności uprawy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Topografia terenu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Przewidywany dochód uzyskany z upraw na danym obszarze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Klasa gleb stanowi podstawę do opodatkowania gruntu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Klasa bonitacyjna jest to oznaczenie gleby o tej samej wartości rolniczej, ale o różnym pochodzeniu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klasyfikacja gleboznawcza jest przeprowadzana przez starostę (w urzędu) lub na wniosek właściciela gruntów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Klasyfikacja z urzędu może być przeprowadzona w następujących przypadkach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Jeśli grunty nie były dotychczas sklasyfikowane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Na gruntach objętych scaleniem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Na gruntach które podlegały melioracji (po upływie 3 lat)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 wystąpieniu klęsk żywiołowych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 zalesienie gruntów na podstawie odrębnych przepisów</w:t>
      </w:r>
    </w:p>
    <w:p>
      <w:pPr>
        <w:pStyle w:val="Normal"/>
        <w:bidi w:val="0"/>
        <w:spacing w:lineRule="auto" w:line="276"/>
        <w:jc w:val="both"/>
        <w:rPr>
          <w:rStyle w:val="TeksttreciArial10ptBezpogrubienia"/>
          <w:rFonts w:ascii="Times New Roman" w:hAnsi="Times New Roman" w:cs="Arial"/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TeksttreciArial10ptBezpogrubienia"/>
          <w:rFonts w:cs="Arial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LibreOffice/6.4.5.2$Linux_X86_64 LibreOffice_project/a726b36747cf2001e06b58ad5db1aa3a9a1872d6</Application>
  <Pages>1</Pages>
  <Words>166</Words>
  <Characters>1020</Characters>
  <CharactersWithSpaces>1153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2020-10-18T21:12:58Z</dcterms:modified>
  <cp:revision>63</cp:revision>
  <dc:subject/>
  <dc:title/>
</cp:coreProperties>
</file>